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E6" w:rsidRPr="00EB13E6" w:rsidRDefault="00EB13E6" w:rsidP="00EB13E6">
      <w:pPr>
        <w:rPr>
          <w:b/>
        </w:rPr>
      </w:pPr>
      <w:r w:rsidRPr="00EB13E6">
        <w:rPr>
          <w:b/>
        </w:rPr>
        <w:t>General</w:t>
      </w:r>
    </w:p>
    <w:p w:rsidR="00EB13E6" w:rsidRDefault="00EB13E6" w:rsidP="00EB13E6"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specifies</w:t>
      </w:r>
      <w:proofErr w:type="spellEnd"/>
      <w:r>
        <w:t xml:space="preserve"> general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third-party</w:t>
      </w:r>
      <w:proofErr w:type="spellEnd"/>
      <w:r>
        <w:t xml:space="preserve"> body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of Information Security Management </w:t>
      </w:r>
      <w:proofErr w:type="spellStart"/>
      <w:r>
        <w:t>Systems</w:t>
      </w:r>
      <w:proofErr w:type="spellEnd"/>
      <w:r>
        <w:t xml:space="preserve"> (ISMS)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recognized</w:t>
      </w:r>
      <w:proofErr w:type="spellEnd"/>
      <w:r>
        <w:t xml:space="preserve"> as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of ISMS </w:t>
      </w:r>
      <w:proofErr w:type="spellStart"/>
      <w:r>
        <w:t>certification</w:t>
      </w:r>
      <w:proofErr w:type="spellEnd"/>
      <w:r>
        <w:t>.</w:t>
      </w:r>
    </w:p>
    <w:p w:rsidR="00EB13E6" w:rsidRDefault="00EB13E6" w:rsidP="00EB13E6">
      <w:r>
        <w:t xml:space="preserve">ISO/IEC 27006: 2015 Information </w:t>
      </w:r>
      <w:proofErr w:type="spellStart"/>
      <w:r>
        <w:t>technology</w:t>
      </w:r>
      <w:proofErr w:type="spellEnd"/>
      <w:r>
        <w:t xml:space="preserve"> – Security </w:t>
      </w:r>
      <w:proofErr w:type="spellStart"/>
      <w:r>
        <w:t>techniques</w:t>
      </w:r>
      <w:proofErr w:type="spellEnd"/>
      <w:r>
        <w:t xml:space="preserve"> –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proofErr w:type="gramStart"/>
      <w:r>
        <w:t>and</w:t>
      </w:r>
      <w:proofErr w:type="spellEnd"/>
      <w:r>
        <w:t xml:space="preserve">  ISO</w:t>
      </w:r>
      <w:proofErr w:type="gramEnd"/>
      <w:r>
        <w:t xml:space="preserve">/IEC  27006:2015/AMD1:  2020  </w:t>
      </w:r>
      <w:proofErr w:type="spellStart"/>
      <w:r>
        <w:t>shall</w:t>
      </w:r>
      <w:proofErr w:type="spellEnd"/>
      <w:r>
        <w:t xml:space="preserve">  be  </w:t>
      </w:r>
      <w:proofErr w:type="spellStart"/>
      <w:r>
        <w:t>applied</w:t>
      </w:r>
      <w:proofErr w:type="spellEnd"/>
      <w:r>
        <w:t xml:space="preserve">  as  </w:t>
      </w:r>
      <w:proofErr w:type="spellStart"/>
      <w:r>
        <w:t>they</w:t>
      </w:r>
      <w:proofErr w:type="spellEnd"/>
      <w:r>
        <w:t xml:space="preserve">  </w:t>
      </w:r>
      <w:proofErr w:type="spellStart"/>
      <w:r>
        <w:t>are</w:t>
      </w:r>
      <w:proofErr w:type="spellEnd"/>
      <w:r>
        <w:t xml:space="preserve">  </w:t>
      </w:r>
      <w:proofErr w:type="spellStart"/>
      <w:r>
        <w:t>to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clauses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>.</w:t>
      </w:r>
    </w:p>
    <w:p w:rsidR="00EB13E6" w:rsidRPr="00EB13E6" w:rsidRDefault="00EB13E6" w:rsidP="00EB13E6">
      <w:pPr>
        <w:rPr>
          <w:b/>
        </w:rPr>
      </w:pPr>
      <w:proofErr w:type="spellStart"/>
      <w:r w:rsidRPr="00EB13E6">
        <w:rPr>
          <w:b/>
        </w:rPr>
        <w:t>Introduction</w:t>
      </w:r>
      <w:proofErr w:type="spellEnd"/>
    </w:p>
    <w:p w:rsidR="00EB13E6" w:rsidRDefault="00EB13E6" w:rsidP="00EB13E6"/>
    <w:p w:rsidR="00EB13E6" w:rsidRDefault="00EB13E6" w:rsidP="00EB13E6">
      <w:r>
        <w:t>“</w:t>
      </w:r>
      <w:proofErr w:type="spellStart"/>
      <w:r>
        <w:t>Introduction</w:t>
      </w:r>
      <w:proofErr w:type="spellEnd"/>
      <w:r>
        <w:t xml:space="preserve">” in ISO/IEC 27006: 2015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EB13E6" w:rsidRPr="00EB13E6" w:rsidRDefault="00EB13E6" w:rsidP="00EB13E6">
      <w:pPr>
        <w:rPr>
          <w:b/>
        </w:rPr>
      </w:pPr>
      <w:r w:rsidRPr="00EB13E6">
        <w:rPr>
          <w:b/>
        </w:rPr>
        <w:t>1.</w:t>
      </w:r>
      <w:r w:rsidRPr="00EB13E6">
        <w:rPr>
          <w:b/>
        </w:rPr>
        <w:tab/>
      </w:r>
      <w:proofErr w:type="spellStart"/>
      <w:r w:rsidRPr="00EB13E6">
        <w:rPr>
          <w:b/>
        </w:rPr>
        <w:t>Scope</w:t>
      </w:r>
      <w:proofErr w:type="spellEnd"/>
    </w:p>
    <w:p w:rsidR="00EB13E6" w:rsidRDefault="00EB13E6" w:rsidP="00EB13E6"/>
    <w:p w:rsidR="00EB13E6" w:rsidRDefault="00EB13E6" w:rsidP="00EB13E6">
      <w:r>
        <w:t xml:space="preserve">“1. </w:t>
      </w:r>
      <w:proofErr w:type="spellStart"/>
      <w:r>
        <w:t>Scope</w:t>
      </w:r>
      <w:proofErr w:type="spellEnd"/>
      <w:r>
        <w:t xml:space="preserve">” in ISO/IEC 27006: 2015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EB13E6" w:rsidRPr="00EB13E6" w:rsidRDefault="00EB13E6" w:rsidP="00EB13E6">
      <w:pPr>
        <w:rPr>
          <w:b/>
        </w:rPr>
      </w:pPr>
      <w:r w:rsidRPr="00EB13E6">
        <w:rPr>
          <w:b/>
        </w:rPr>
        <w:t>2.</w:t>
      </w:r>
      <w:r w:rsidRPr="00EB13E6">
        <w:rPr>
          <w:b/>
        </w:rPr>
        <w:tab/>
      </w:r>
      <w:proofErr w:type="spellStart"/>
      <w:r w:rsidRPr="00EB13E6">
        <w:rPr>
          <w:b/>
        </w:rPr>
        <w:t>Normative</w:t>
      </w:r>
      <w:proofErr w:type="spellEnd"/>
      <w:r w:rsidRPr="00EB13E6">
        <w:rPr>
          <w:b/>
        </w:rPr>
        <w:t xml:space="preserve"> </w:t>
      </w:r>
      <w:proofErr w:type="spellStart"/>
      <w:r w:rsidRPr="00EB13E6">
        <w:rPr>
          <w:b/>
        </w:rPr>
        <w:t>references</w:t>
      </w:r>
      <w:proofErr w:type="spellEnd"/>
    </w:p>
    <w:p w:rsidR="00EB13E6" w:rsidRDefault="00EB13E6" w:rsidP="00EB13E6">
      <w:r>
        <w:t xml:space="preserve">“2. </w:t>
      </w:r>
      <w:proofErr w:type="spellStart"/>
      <w:r>
        <w:t>Normative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” in ISO/IEC 27006: 2015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EB13E6" w:rsidRPr="00EB13E6" w:rsidRDefault="00EB13E6" w:rsidP="00EB13E6">
      <w:pPr>
        <w:rPr>
          <w:b/>
        </w:rPr>
      </w:pPr>
      <w:r w:rsidRPr="00EB13E6">
        <w:rPr>
          <w:b/>
        </w:rPr>
        <w:t>3.</w:t>
      </w:r>
      <w:r w:rsidRPr="00EB13E6">
        <w:rPr>
          <w:b/>
        </w:rPr>
        <w:tab/>
      </w:r>
      <w:proofErr w:type="spellStart"/>
      <w:r w:rsidRPr="00EB13E6">
        <w:rPr>
          <w:b/>
        </w:rPr>
        <w:t>Terms</w:t>
      </w:r>
      <w:proofErr w:type="spellEnd"/>
      <w:r w:rsidRPr="00EB13E6">
        <w:rPr>
          <w:b/>
        </w:rPr>
        <w:t xml:space="preserve"> </w:t>
      </w:r>
      <w:proofErr w:type="spellStart"/>
      <w:r w:rsidRPr="00EB13E6">
        <w:rPr>
          <w:b/>
        </w:rPr>
        <w:t>and</w:t>
      </w:r>
      <w:proofErr w:type="spellEnd"/>
      <w:r w:rsidRPr="00EB13E6">
        <w:rPr>
          <w:b/>
        </w:rPr>
        <w:t xml:space="preserve"> </w:t>
      </w:r>
      <w:proofErr w:type="spellStart"/>
      <w:r w:rsidRPr="00EB13E6">
        <w:rPr>
          <w:b/>
        </w:rPr>
        <w:t>definitions</w:t>
      </w:r>
      <w:proofErr w:type="spellEnd"/>
    </w:p>
    <w:p w:rsidR="00EB13E6" w:rsidRDefault="00EB13E6" w:rsidP="00EB13E6">
      <w:r>
        <w:t xml:space="preserve">“3.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” in ISO/IEC 27006: 2015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EB13E6" w:rsidRPr="00EB13E6" w:rsidRDefault="00EB13E6" w:rsidP="00EB13E6">
      <w:pPr>
        <w:rPr>
          <w:b/>
        </w:rPr>
      </w:pPr>
      <w:r w:rsidRPr="00EB13E6">
        <w:rPr>
          <w:b/>
        </w:rPr>
        <w:t>4.</w:t>
      </w:r>
      <w:r w:rsidRPr="00EB13E6">
        <w:rPr>
          <w:b/>
        </w:rPr>
        <w:tab/>
      </w:r>
      <w:proofErr w:type="spellStart"/>
      <w:r w:rsidRPr="00EB13E6">
        <w:rPr>
          <w:b/>
        </w:rPr>
        <w:t>Principles</w:t>
      </w:r>
      <w:proofErr w:type="spellEnd"/>
    </w:p>
    <w:p w:rsidR="00EB13E6" w:rsidRDefault="00EB13E6" w:rsidP="00EB13E6">
      <w:r>
        <w:t xml:space="preserve">“4. </w:t>
      </w:r>
      <w:proofErr w:type="spellStart"/>
      <w:r>
        <w:t>Principles</w:t>
      </w:r>
      <w:proofErr w:type="spellEnd"/>
      <w:r>
        <w:t xml:space="preserve">” in ISO/IEC 27006: 2015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EB13E6" w:rsidRPr="00EB13E6" w:rsidRDefault="00EB13E6" w:rsidP="00EB13E6">
      <w:pPr>
        <w:rPr>
          <w:b/>
        </w:rPr>
      </w:pPr>
      <w:r w:rsidRPr="00EB13E6">
        <w:rPr>
          <w:b/>
        </w:rPr>
        <w:t>5.</w:t>
      </w:r>
      <w:r w:rsidRPr="00EB13E6">
        <w:rPr>
          <w:b/>
        </w:rPr>
        <w:tab/>
        <w:t xml:space="preserve">General </w:t>
      </w:r>
      <w:proofErr w:type="spellStart"/>
      <w:r w:rsidRPr="00EB13E6">
        <w:rPr>
          <w:b/>
        </w:rPr>
        <w:t>requirements</w:t>
      </w:r>
      <w:proofErr w:type="spellEnd"/>
    </w:p>
    <w:p w:rsidR="00EB13E6" w:rsidRDefault="00EB13E6" w:rsidP="00EB13E6">
      <w:r>
        <w:t xml:space="preserve">“5. General </w:t>
      </w:r>
      <w:proofErr w:type="spellStart"/>
      <w:r>
        <w:t>requirements</w:t>
      </w:r>
      <w:proofErr w:type="spellEnd"/>
      <w:r>
        <w:t xml:space="preserve">” in ISO/IEC 27006: 2015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EB13E6" w:rsidRPr="00EB13E6" w:rsidRDefault="00EB13E6" w:rsidP="00EB13E6">
      <w:pPr>
        <w:rPr>
          <w:b/>
        </w:rPr>
      </w:pPr>
      <w:r w:rsidRPr="00EB13E6">
        <w:rPr>
          <w:b/>
        </w:rPr>
        <w:t>6.</w:t>
      </w:r>
      <w:r w:rsidRPr="00EB13E6">
        <w:rPr>
          <w:b/>
        </w:rPr>
        <w:tab/>
      </w:r>
      <w:proofErr w:type="spellStart"/>
      <w:r w:rsidRPr="00EB13E6">
        <w:rPr>
          <w:b/>
        </w:rPr>
        <w:t>Structural</w:t>
      </w:r>
      <w:proofErr w:type="spellEnd"/>
      <w:r w:rsidRPr="00EB13E6">
        <w:rPr>
          <w:b/>
        </w:rPr>
        <w:t xml:space="preserve"> </w:t>
      </w:r>
      <w:proofErr w:type="spellStart"/>
      <w:r w:rsidRPr="00EB13E6">
        <w:rPr>
          <w:b/>
        </w:rPr>
        <w:t>requirements</w:t>
      </w:r>
      <w:proofErr w:type="spellEnd"/>
    </w:p>
    <w:p w:rsidR="00EB13E6" w:rsidRDefault="00EB13E6" w:rsidP="00EB13E6">
      <w:r>
        <w:t xml:space="preserve">“6.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” in ISO/IEC 27006: 2015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EB13E6" w:rsidRPr="00EB13E6" w:rsidRDefault="00EB13E6" w:rsidP="00EB13E6">
      <w:pPr>
        <w:rPr>
          <w:b/>
        </w:rPr>
      </w:pPr>
      <w:r w:rsidRPr="00EB13E6">
        <w:rPr>
          <w:b/>
        </w:rPr>
        <w:t>7.</w:t>
      </w:r>
      <w:r w:rsidRPr="00EB13E6">
        <w:rPr>
          <w:b/>
        </w:rPr>
        <w:tab/>
        <w:t xml:space="preserve">Resource </w:t>
      </w:r>
      <w:proofErr w:type="spellStart"/>
      <w:r w:rsidRPr="00EB13E6">
        <w:rPr>
          <w:b/>
        </w:rPr>
        <w:t>requirements</w:t>
      </w:r>
      <w:proofErr w:type="spellEnd"/>
    </w:p>
    <w:p w:rsidR="00EB13E6" w:rsidRDefault="00EB13E6" w:rsidP="00EB13E6">
      <w:r>
        <w:t xml:space="preserve">“7.  </w:t>
      </w:r>
      <w:proofErr w:type="gramStart"/>
      <w:r>
        <w:t xml:space="preserve">Resource  </w:t>
      </w:r>
      <w:proofErr w:type="spellStart"/>
      <w:r>
        <w:t>requirements</w:t>
      </w:r>
      <w:proofErr w:type="spellEnd"/>
      <w:proofErr w:type="gramEnd"/>
      <w:r>
        <w:t xml:space="preserve">”  in  ISO/IEC  27006:  2015  </w:t>
      </w:r>
      <w:proofErr w:type="spellStart"/>
      <w:r>
        <w:t>and</w:t>
      </w:r>
      <w:proofErr w:type="spellEnd"/>
      <w:r>
        <w:t xml:space="preserve">  ISO/IEC  27006:2015/AMD1: 2020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>
      <w:pPr>
        <w:rPr>
          <w:b/>
        </w:rPr>
      </w:pPr>
    </w:p>
    <w:p w:rsidR="00EB13E6" w:rsidRPr="00EB13E6" w:rsidRDefault="00EB13E6" w:rsidP="00EB13E6">
      <w:pPr>
        <w:rPr>
          <w:b/>
        </w:rPr>
      </w:pPr>
      <w:r w:rsidRPr="00EB13E6">
        <w:rPr>
          <w:b/>
        </w:rPr>
        <w:t>8.</w:t>
      </w:r>
      <w:r w:rsidRPr="00EB13E6">
        <w:rPr>
          <w:b/>
        </w:rPr>
        <w:tab/>
        <w:t xml:space="preserve">Information </w:t>
      </w:r>
      <w:proofErr w:type="spellStart"/>
      <w:r w:rsidRPr="00EB13E6">
        <w:rPr>
          <w:b/>
        </w:rPr>
        <w:t>requirements</w:t>
      </w:r>
      <w:proofErr w:type="spellEnd"/>
    </w:p>
    <w:p w:rsidR="00EB13E6" w:rsidRDefault="00EB13E6" w:rsidP="00EB13E6">
      <w:r>
        <w:t xml:space="preserve">“8. Information </w:t>
      </w:r>
      <w:proofErr w:type="spellStart"/>
      <w:r>
        <w:t>requirements</w:t>
      </w:r>
      <w:proofErr w:type="spellEnd"/>
      <w:r>
        <w:t xml:space="preserve">” in ISO/IEC 27006: 2015 </w:t>
      </w:r>
      <w:proofErr w:type="spellStart"/>
      <w:r>
        <w:t>and</w:t>
      </w:r>
      <w:proofErr w:type="spellEnd"/>
      <w:r>
        <w:t xml:space="preserve"> ISO/IEC 27006:2015/AMD1: 2020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>
      <w:r>
        <w:t xml:space="preserve"> </w:t>
      </w:r>
    </w:p>
    <w:p w:rsidR="00EB13E6" w:rsidRPr="00EB13E6" w:rsidRDefault="00EB13E6" w:rsidP="00EB13E6">
      <w:pPr>
        <w:rPr>
          <w:b/>
        </w:rPr>
      </w:pPr>
      <w:r w:rsidRPr="00EB13E6">
        <w:rPr>
          <w:b/>
        </w:rPr>
        <w:t>9.</w:t>
      </w:r>
      <w:r w:rsidRPr="00EB13E6">
        <w:rPr>
          <w:b/>
        </w:rPr>
        <w:tab/>
      </w:r>
      <w:proofErr w:type="spellStart"/>
      <w:r w:rsidRPr="00EB13E6">
        <w:rPr>
          <w:b/>
        </w:rPr>
        <w:t>Process</w:t>
      </w:r>
      <w:proofErr w:type="spellEnd"/>
      <w:r w:rsidRPr="00EB13E6">
        <w:rPr>
          <w:b/>
        </w:rPr>
        <w:t xml:space="preserve"> </w:t>
      </w:r>
      <w:proofErr w:type="spellStart"/>
      <w:r w:rsidRPr="00EB13E6">
        <w:rPr>
          <w:b/>
        </w:rPr>
        <w:t>requirements</w:t>
      </w:r>
      <w:proofErr w:type="spellEnd"/>
    </w:p>
    <w:p w:rsidR="00EB13E6" w:rsidRDefault="00EB13E6" w:rsidP="00EB13E6">
      <w:r>
        <w:t xml:space="preserve">“9.  </w:t>
      </w:r>
      <w:proofErr w:type="spellStart"/>
      <w:proofErr w:type="gramStart"/>
      <w:r>
        <w:t>Process</w:t>
      </w:r>
      <w:proofErr w:type="spellEnd"/>
      <w:r>
        <w:t xml:space="preserve">  </w:t>
      </w:r>
      <w:proofErr w:type="spellStart"/>
      <w:r>
        <w:t>requirements</w:t>
      </w:r>
      <w:proofErr w:type="spellEnd"/>
      <w:proofErr w:type="gramEnd"/>
      <w:r>
        <w:t xml:space="preserve">”  in  ISO/IEC  27006:  2015  </w:t>
      </w:r>
      <w:proofErr w:type="spellStart"/>
      <w:r>
        <w:t>and</w:t>
      </w:r>
      <w:proofErr w:type="spellEnd"/>
      <w:r>
        <w:t xml:space="preserve">  ISO/IEC  27006:2015/AMD1: 2020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EB13E6" w:rsidRPr="00EB13E6" w:rsidRDefault="00EB13E6" w:rsidP="00EB13E6">
      <w:pPr>
        <w:rPr>
          <w:b/>
        </w:rPr>
      </w:pPr>
      <w:r w:rsidRPr="00EB13E6">
        <w:rPr>
          <w:b/>
        </w:rPr>
        <w:t>10.</w:t>
      </w:r>
      <w:r w:rsidRPr="00EB13E6">
        <w:rPr>
          <w:b/>
        </w:rPr>
        <w:tab/>
        <w:t xml:space="preserve">Management </w:t>
      </w:r>
      <w:proofErr w:type="spellStart"/>
      <w:r w:rsidRPr="00EB13E6">
        <w:rPr>
          <w:b/>
        </w:rPr>
        <w:t>system</w:t>
      </w:r>
      <w:proofErr w:type="spellEnd"/>
      <w:r w:rsidRPr="00EB13E6">
        <w:rPr>
          <w:b/>
        </w:rPr>
        <w:t xml:space="preserve"> </w:t>
      </w:r>
      <w:proofErr w:type="spellStart"/>
      <w:r w:rsidRPr="00EB13E6">
        <w:rPr>
          <w:b/>
        </w:rPr>
        <w:t>requirements</w:t>
      </w:r>
      <w:proofErr w:type="spellEnd"/>
      <w:r w:rsidRPr="00EB13E6">
        <w:rPr>
          <w:b/>
        </w:rPr>
        <w:t xml:space="preserve"> </w:t>
      </w:r>
      <w:proofErr w:type="spellStart"/>
      <w:r w:rsidRPr="00EB13E6">
        <w:rPr>
          <w:b/>
        </w:rPr>
        <w:t>for</w:t>
      </w:r>
      <w:proofErr w:type="spellEnd"/>
      <w:r w:rsidRPr="00EB13E6">
        <w:rPr>
          <w:b/>
        </w:rPr>
        <w:t xml:space="preserve"> </w:t>
      </w:r>
      <w:proofErr w:type="spellStart"/>
      <w:r w:rsidRPr="00EB13E6">
        <w:rPr>
          <w:b/>
        </w:rPr>
        <w:t>certification</w:t>
      </w:r>
      <w:proofErr w:type="spellEnd"/>
      <w:r w:rsidRPr="00EB13E6">
        <w:rPr>
          <w:b/>
        </w:rPr>
        <w:t xml:space="preserve"> </w:t>
      </w:r>
      <w:proofErr w:type="spellStart"/>
      <w:r w:rsidRPr="00EB13E6">
        <w:rPr>
          <w:b/>
        </w:rPr>
        <w:t>bodies</w:t>
      </w:r>
      <w:proofErr w:type="spellEnd"/>
    </w:p>
    <w:p w:rsidR="00EB13E6" w:rsidRDefault="00EB13E6" w:rsidP="00EB13E6">
      <w:r>
        <w:t xml:space="preserve">“10. Management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” in ISO/IEC 27006: 2015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211E4D" w:rsidRPr="0058250B" w:rsidRDefault="0058250B" w:rsidP="00211E4D">
      <w:pPr>
        <w:rPr>
          <w:b/>
        </w:rPr>
      </w:pPr>
      <w:r>
        <w:rPr>
          <w:b/>
        </w:rPr>
        <w:t>11</w:t>
      </w:r>
      <w:r>
        <w:rPr>
          <w:b/>
        </w:rPr>
        <w:tab/>
      </w:r>
      <w:proofErr w:type="spellStart"/>
      <w:r>
        <w:rPr>
          <w:b/>
        </w:rPr>
        <w:t>Implementation</w:t>
      </w:r>
      <w:proofErr w:type="spellEnd"/>
    </w:p>
    <w:p w:rsidR="00C15721" w:rsidRDefault="00211E4D" w:rsidP="00211E4D">
      <w:r>
        <w:t>11.1</w:t>
      </w:r>
      <w:r>
        <w:tab/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r w:rsidR="00BE02C3">
        <w:t xml:space="preserve">is a </w:t>
      </w:r>
      <w:proofErr w:type="spellStart"/>
      <w:r w:rsidR="00BE02C3">
        <w:t>part</w:t>
      </w:r>
      <w:proofErr w:type="spellEnd"/>
      <w:r w:rsidR="00BE02C3">
        <w:t xml:space="preserve"> of IRNAC</w:t>
      </w:r>
      <w:r>
        <w:t xml:space="preserve">-G-28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 </w:t>
      </w:r>
      <w:proofErr w:type="gramStart"/>
      <w:r>
        <w:t>of  Confor</w:t>
      </w:r>
      <w:r w:rsidR="00BE02C3">
        <w:t>mity</w:t>
      </w:r>
      <w:proofErr w:type="gramEnd"/>
      <w:r w:rsidR="00BE02C3">
        <w:t xml:space="preserve"> </w:t>
      </w:r>
      <w:proofErr w:type="spellStart"/>
      <w:r w:rsidR="00BE02C3">
        <w:t>Assessment</w:t>
      </w:r>
      <w:proofErr w:type="spellEnd"/>
      <w:r w:rsidR="00BE02C3">
        <w:t xml:space="preserve"> </w:t>
      </w:r>
      <w:proofErr w:type="spellStart"/>
      <w:r w:rsidR="00BE02C3">
        <w:t>Bodies</w:t>
      </w:r>
      <w:proofErr w:type="spellEnd"/>
      <w:r w:rsidR="00BE02C3">
        <w:t xml:space="preserve"> </w:t>
      </w:r>
      <w:proofErr w:type="spellStart"/>
      <w:r w:rsidR="00BE02C3">
        <w:t>and</w:t>
      </w:r>
      <w:proofErr w:type="spellEnd"/>
      <w:r w:rsidR="00BE02C3">
        <w:t xml:space="preserve"> IRNAC</w:t>
      </w:r>
      <w:bookmarkStart w:id="0" w:name="_GoBack"/>
      <w:bookmarkEnd w:id="0"/>
      <w:r>
        <w:t xml:space="preserve">-P-01 </w:t>
      </w:r>
      <w:proofErr w:type="spellStart"/>
      <w:r>
        <w:t>Accreditation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of </w:t>
      </w:r>
      <w:proofErr w:type="spellStart"/>
      <w:r>
        <w:t>CABs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</w:t>
      </w:r>
    </w:p>
    <w:p w:rsidR="00C15721" w:rsidRDefault="00C15721" w:rsidP="00EB13E6"/>
    <w:p w:rsidR="00EB13E6" w:rsidRPr="00EB13E6" w:rsidRDefault="00EB13E6" w:rsidP="00EB13E6">
      <w:pPr>
        <w:rPr>
          <w:b/>
        </w:rPr>
      </w:pPr>
      <w:proofErr w:type="spellStart"/>
      <w:r w:rsidRPr="00EB13E6">
        <w:rPr>
          <w:b/>
        </w:rPr>
        <w:t>Annex</w:t>
      </w:r>
      <w:proofErr w:type="spellEnd"/>
      <w:r w:rsidRPr="00EB13E6">
        <w:rPr>
          <w:b/>
        </w:rPr>
        <w:t xml:space="preserve"> A</w:t>
      </w:r>
    </w:p>
    <w:p w:rsidR="00EB13E6" w:rsidRDefault="00EB13E6" w:rsidP="00EB13E6">
      <w:r>
        <w:t>“</w:t>
      </w:r>
      <w:proofErr w:type="spellStart"/>
      <w:r>
        <w:t>Annex</w:t>
      </w:r>
      <w:proofErr w:type="spellEnd"/>
      <w:r>
        <w:t xml:space="preserve"> A” in ISO/IEC 27006: 2015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EB13E6" w:rsidRPr="00EB13E6" w:rsidRDefault="00EB13E6" w:rsidP="00EB13E6">
      <w:pPr>
        <w:rPr>
          <w:b/>
        </w:rPr>
      </w:pPr>
      <w:proofErr w:type="spellStart"/>
      <w:r w:rsidRPr="00EB13E6">
        <w:rPr>
          <w:b/>
        </w:rPr>
        <w:t>Annex</w:t>
      </w:r>
      <w:proofErr w:type="spellEnd"/>
      <w:r w:rsidRPr="00EB13E6">
        <w:rPr>
          <w:b/>
        </w:rPr>
        <w:t xml:space="preserve"> B</w:t>
      </w:r>
    </w:p>
    <w:p w:rsidR="00EB13E6" w:rsidRDefault="00EB13E6" w:rsidP="00EB13E6">
      <w:r>
        <w:t>“</w:t>
      </w:r>
      <w:proofErr w:type="spellStart"/>
      <w:proofErr w:type="gramStart"/>
      <w:r>
        <w:t>Annex</w:t>
      </w:r>
      <w:proofErr w:type="spellEnd"/>
      <w:r>
        <w:t xml:space="preserve">  B</w:t>
      </w:r>
      <w:proofErr w:type="gramEnd"/>
      <w:r>
        <w:t xml:space="preserve">”  in  ISO/IEC  27006:  2015  </w:t>
      </w:r>
      <w:proofErr w:type="spellStart"/>
      <w:r>
        <w:t>and</w:t>
      </w:r>
      <w:proofErr w:type="spellEnd"/>
      <w:r>
        <w:t xml:space="preserve">  ISO/IEC  27006:2015/AMD1:  2020  </w:t>
      </w:r>
      <w:proofErr w:type="spellStart"/>
      <w:r>
        <w:t>shall</w:t>
      </w:r>
      <w:proofErr w:type="spellEnd"/>
      <w:r>
        <w:t xml:space="preserve">  be</w:t>
      </w:r>
    </w:p>
    <w:p w:rsidR="00EB13E6" w:rsidRDefault="00EB13E6" w:rsidP="00EB13E6"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EB13E6" w:rsidRPr="00EB13E6" w:rsidRDefault="00EB13E6" w:rsidP="00EB13E6">
      <w:pPr>
        <w:rPr>
          <w:b/>
        </w:rPr>
      </w:pPr>
      <w:proofErr w:type="spellStart"/>
      <w:r w:rsidRPr="00EB13E6">
        <w:rPr>
          <w:b/>
        </w:rPr>
        <w:t>Annex</w:t>
      </w:r>
      <w:proofErr w:type="spellEnd"/>
      <w:r w:rsidRPr="00EB13E6">
        <w:rPr>
          <w:b/>
        </w:rPr>
        <w:t xml:space="preserve"> C</w:t>
      </w:r>
    </w:p>
    <w:p w:rsidR="00EB13E6" w:rsidRDefault="00EB13E6" w:rsidP="00EB13E6">
      <w:r>
        <w:lastRenderedPageBreak/>
        <w:t>“</w:t>
      </w:r>
      <w:proofErr w:type="spellStart"/>
      <w:r>
        <w:t>Annex</w:t>
      </w:r>
      <w:proofErr w:type="spellEnd"/>
      <w:r>
        <w:t xml:space="preserve"> C” in ISO/IEC 27006: 2015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EB13E6" w:rsidRDefault="00EB13E6" w:rsidP="00EB13E6"/>
    <w:p w:rsidR="00EB13E6" w:rsidRPr="00EB13E6" w:rsidRDefault="00EB13E6" w:rsidP="00EB13E6">
      <w:pPr>
        <w:rPr>
          <w:b/>
        </w:rPr>
      </w:pPr>
      <w:proofErr w:type="spellStart"/>
      <w:r w:rsidRPr="00EB13E6">
        <w:rPr>
          <w:b/>
        </w:rPr>
        <w:t>Annex</w:t>
      </w:r>
      <w:proofErr w:type="spellEnd"/>
      <w:r w:rsidRPr="00EB13E6">
        <w:rPr>
          <w:b/>
        </w:rPr>
        <w:t xml:space="preserve"> D</w:t>
      </w:r>
    </w:p>
    <w:p w:rsidR="00297201" w:rsidRDefault="00EB13E6" w:rsidP="00EB13E6">
      <w:r>
        <w:t>“</w:t>
      </w:r>
      <w:proofErr w:type="spellStart"/>
      <w:r>
        <w:t>Annex</w:t>
      </w:r>
      <w:proofErr w:type="spellEnd"/>
      <w:r>
        <w:t xml:space="preserve"> D” in ISO/IEC 27006: 2015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sectPr w:rsidR="002972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6D" w:rsidRDefault="0095166D" w:rsidP="00EB13E6">
      <w:pPr>
        <w:spacing w:after="0" w:line="240" w:lineRule="auto"/>
      </w:pPr>
      <w:r>
        <w:separator/>
      </w:r>
    </w:p>
  </w:endnote>
  <w:endnote w:type="continuationSeparator" w:id="0">
    <w:p w:rsidR="0095166D" w:rsidRDefault="0095166D" w:rsidP="00EB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70" w:rsidRDefault="00FA3AFE">
    <w:pPr>
      <w:pStyle w:val="AltBilgi"/>
    </w:pPr>
    <w:r>
      <w:t>IRNAC-IN-28-01/04/2023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6D" w:rsidRDefault="0095166D" w:rsidP="00EB13E6">
      <w:pPr>
        <w:spacing w:after="0" w:line="240" w:lineRule="auto"/>
      </w:pPr>
      <w:r>
        <w:separator/>
      </w:r>
    </w:p>
  </w:footnote>
  <w:footnote w:type="continuationSeparator" w:id="0">
    <w:p w:rsidR="0095166D" w:rsidRDefault="0095166D" w:rsidP="00EB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18" w:type="dxa"/>
      <w:tblLook w:val="04A0" w:firstRow="1" w:lastRow="0" w:firstColumn="1" w:lastColumn="0" w:noHBand="0" w:noVBand="1"/>
    </w:tblPr>
    <w:tblGrid>
      <w:gridCol w:w="1873"/>
      <w:gridCol w:w="5006"/>
      <w:gridCol w:w="1136"/>
      <w:gridCol w:w="1365"/>
    </w:tblGrid>
    <w:tr w:rsidR="00EB13E6" w:rsidRPr="00507192" w:rsidTr="00FA3AFE">
      <w:trPr>
        <w:trHeight w:val="144"/>
      </w:trPr>
      <w:tc>
        <w:tcPr>
          <w:tcW w:w="1873" w:type="dxa"/>
          <w:vMerge w:val="restart"/>
        </w:tcPr>
        <w:p w:rsidR="00EB13E6" w:rsidRPr="00507192" w:rsidRDefault="00FA3AFE" w:rsidP="00EB13E6">
          <w:pPr>
            <w:rPr>
              <w:rFonts w:eastAsia="Courier New"/>
              <w:b/>
              <w:sz w:val="32"/>
              <w:szCs w:val="32"/>
            </w:rPr>
          </w:pPr>
          <w:r w:rsidRPr="0085007F">
            <w:rPr>
              <w:noProof/>
            </w:rPr>
            <w:drawing>
              <wp:inline distT="0" distB="0" distL="0" distR="0" wp14:anchorId="62941739" wp14:editId="664BD3B3">
                <wp:extent cx="1025525" cy="874395"/>
                <wp:effectExtent l="0" t="0" r="3175" b="1905"/>
                <wp:docPr id="1" name="Resim 1" descr="C:\Users\sevda\OneDrive\Masaüstü\IRNAC LOGO - Kop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vda\OneDrive\Masaüstü\IRNAC LOGO - Kopy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B13E6" w:rsidRPr="00507192" w:rsidRDefault="00EB13E6" w:rsidP="00EB13E6">
          <w:pPr>
            <w:rPr>
              <w:rFonts w:eastAsia="Courier New"/>
            </w:rPr>
          </w:pPr>
        </w:p>
        <w:p w:rsidR="00EB13E6" w:rsidRPr="00507192" w:rsidRDefault="00EB13E6" w:rsidP="00EB13E6">
          <w:pPr>
            <w:jc w:val="center"/>
            <w:rPr>
              <w:rFonts w:eastAsia="Courier New"/>
            </w:rPr>
          </w:pPr>
        </w:p>
      </w:tc>
      <w:tc>
        <w:tcPr>
          <w:tcW w:w="5006" w:type="dxa"/>
          <w:vMerge w:val="restart"/>
        </w:tcPr>
        <w:p w:rsidR="00EB13E6" w:rsidRPr="00507192" w:rsidRDefault="00FA3AFE" w:rsidP="00EB13E6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IRNAC</w:t>
          </w:r>
        </w:p>
        <w:p w:rsidR="00FA3AFE" w:rsidRDefault="00FA3AFE" w:rsidP="00EB13E6">
          <w:pPr>
            <w:jc w:val="center"/>
            <w:rPr>
              <w:rFonts w:eastAsia="Courier New"/>
              <w:b/>
              <w:sz w:val="28"/>
              <w:szCs w:val="28"/>
            </w:rPr>
          </w:pPr>
        </w:p>
        <w:p w:rsidR="00EB13E6" w:rsidRPr="00507192" w:rsidRDefault="00EB13E6" w:rsidP="00EB13E6">
          <w:pPr>
            <w:jc w:val="center"/>
            <w:rPr>
              <w:rFonts w:eastAsia="Courier New"/>
              <w:b/>
              <w:sz w:val="28"/>
              <w:szCs w:val="28"/>
            </w:rPr>
          </w:pPr>
          <w:proofErr w:type="spellStart"/>
          <w:r w:rsidRPr="00507192">
            <w:rPr>
              <w:rFonts w:eastAsia="Courier New"/>
              <w:b/>
              <w:sz w:val="28"/>
              <w:szCs w:val="28"/>
            </w:rPr>
            <w:t>Instruction</w:t>
          </w:r>
          <w:proofErr w:type="spellEnd"/>
          <w:r w:rsidRPr="00507192"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 w:rsidRPr="00507192">
            <w:rPr>
              <w:rFonts w:eastAsia="Courier New"/>
              <w:b/>
              <w:sz w:val="28"/>
              <w:szCs w:val="28"/>
            </w:rPr>
            <w:t>for</w:t>
          </w:r>
          <w:proofErr w:type="spellEnd"/>
          <w:r w:rsidRPr="00507192">
            <w:rPr>
              <w:rFonts w:eastAsia="Courier New"/>
              <w:b/>
              <w:sz w:val="28"/>
              <w:szCs w:val="28"/>
            </w:rPr>
            <w:t xml:space="preserve"> Information Security Management </w:t>
          </w:r>
          <w:proofErr w:type="spellStart"/>
          <w:r w:rsidRPr="00507192">
            <w:rPr>
              <w:rFonts w:eastAsia="Courier New"/>
              <w:b/>
              <w:sz w:val="28"/>
              <w:szCs w:val="28"/>
            </w:rPr>
            <w:t>Systems</w:t>
          </w:r>
          <w:proofErr w:type="spellEnd"/>
          <w:r w:rsidRPr="00507192">
            <w:rPr>
              <w:rFonts w:eastAsia="Courier New"/>
              <w:b/>
              <w:sz w:val="28"/>
              <w:szCs w:val="28"/>
            </w:rPr>
            <w:t xml:space="preserve"> (ISMS)</w:t>
          </w:r>
        </w:p>
      </w:tc>
      <w:tc>
        <w:tcPr>
          <w:tcW w:w="1136" w:type="dxa"/>
        </w:tcPr>
        <w:p w:rsidR="00EB13E6" w:rsidRPr="00507192" w:rsidRDefault="00EB13E6" w:rsidP="00EB13E6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507192">
            <w:rPr>
              <w:rFonts w:ascii="Verdana" w:hAnsi="Verdana"/>
              <w:b/>
              <w:sz w:val="16"/>
              <w:szCs w:val="16"/>
            </w:rPr>
            <w:t>Document</w:t>
          </w:r>
          <w:proofErr w:type="spellEnd"/>
          <w:r w:rsidRPr="00507192">
            <w:rPr>
              <w:rFonts w:ascii="Verdana" w:hAnsi="Verdana"/>
              <w:b/>
              <w:sz w:val="16"/>
              <w:szCs w:val="16"/>
            </w:rPr>
            <w:t xml:space="preserve"> No:</w:t>
          </w:r>
        </w:p>
      </w:tc>
      <w:tc>
        <w:tcPr>
          <w:tcW w:w="1365" w:type="dxa"/>
        </w:tcPr>
        <w:p w:rsidR="00EB13E6" w:rsidRPr="00507192" w:rsidRDefault="00FA3AFE" w:rsidP="00EB13E6">
          <w:pPr>
            <w:jc w:val="center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IRNAC</w:t>
          </w:r>
          <w:r w:rsidR="00EB13E6">
            <w:rPr>
              <w:rFonts w:ascii="Verdana" w:hAnsi="Verdana"/>
              <w:b/>
              <w:sz w:val="14"/>
              <w:szCs w:val="14"/>
            </w:rPr>
            <w:t>-IN-28</w:t>
          </w:r>
        </w:p>
        <w:p w:rsidR="00EB13E6" w:rsidRPr="00507192" w:rsidRDefault="00EB13E6" w:rsidP="00EB13E6">
          <w:pPr>
            <w:rPr>
              <w:rFonts w:eastAsia="Courier New"/>
              <w:b/>
              <w:sz w:val="32"/>
              <w:szCs w:val="32"/>
            </w:rPr>
          </w:pPr>
        </w:p>
      </w:tc>
    </w:tr>
    <w:tr w:rsidR="00EB13E6" w:rsidRPr="00507192" w:rsidTr="00FA3AFE">
      <w:trPr>
        <w:trHeight w:val="144"/>
      </w:trPr>
      <w:tc>
        <w:tcPr>
          <w:tcW w:w="1873" w:type="dxa"/>
          <w:vMerge/>
        </w:tcPr>
        <w:p w:rsidR="00EB13E6" w:rsidRPr="00507192" w:rsidRDefault="00EB13E6" w:rsidP="00EB13E6">
          <w:pPr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EB13E6" w:rsidRPr="00507192" w:rsidRDefault="00EB13E6" w:rsidP="00EB13E6">
          <w:pPr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EB13E6" w:rsidRPr="00507192" w:rsidRDefault="00EB13E6" w:rsidP="00EB13E6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507192">
            <w:rPr>
              <w:rFonts w:ascii="Verdana" w:hAnsi="Verdana"/>
              <w:b/>
              <w:sz w:val="16"/>
              <w:szCs w:val="16"/>
            </w:rPr>
            <w:t>Release</w:t>
          </w:r>
          <w:proofErr w:type="spellEnd"/>
          <w:r w:rsidRPr="00507192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507192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507192">
            <w:rPr>
              <w:rFonts w:ascii="Verdana" w:hAnsi="Verdana"/>
              <w:b/>
              <w:sz w:val="16"/>
              <w:szCs w:val="16"/>
            </w:rPr>
            <w:t>:</w:t>
          </w:r>
        </w:p>
      </w:tc>
      <w:tc>
        <w:tcPr>
          <w:tcW w:w="1365" w:type="dxa"/>
        </w:tcPr>
        <w:p w:rsidR="00EB13E6" w:rsidRPr="00507192" w:rsidRDefault="00FA3AFE" w:rsidP="00EB13E6">
          <w:pPr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ascii="Verdana" w:hAnsi="Verdana"/>
              <w:b/>
              <w:sz w:val="16"/>
              <w:szCs w:val="16"/>
            </w:rPr>
            <w:t>01/04/2023</w:t>
          </w:r>
        </w:p>
      </w:tc>
    </w:tr>
    <w:tr w:rsidR="00EB13E6" w:rsidRPr="00507192" w:rsidTr="00FA3AFE">
      <w:trPr>
        <w:trHeight w:val="253"/>
      </w:trPr>
      <w:tc>
        <w:tcPr>
          <w:tcW w:w="1873" w:type="dxa"/>
          <w:vMerge/>
        </w:tcPr>
        <w:p w:rsidR="00EB13E6" w:rsidRPr="00507192" w:rsidRDefault="00EB13E6" w:rsidP="00EB13E6">
          <w:pPr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EB13E6" w:rsidRPr="00507192" w:rsidRDefault="00EB13E6" w:rsidP="00EB13E6">
          <w:pPr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EB13E6" w:rsidRPr="00507192" w:rsidRDefault="00EB13E6" w:rsidP="00EB13E6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507192">
            <w:rPr>
              <w:rFonts w:ascii="Verdana" w:hAnsi="Verdana"/>
              <w:b/>
              <w:sz w:val="16"/>
              <w:szCs w:val="16"/>
            </w:rPr>
            <w:t>Rev</w:t>
          </w:r>
          <w:proofErr w:type="spellEnd"/>
          <w:r w:rsidRPr="00507192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507192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507192">
            <w:rPr>
              <w:rFonts w:ascii="Verdana" w:hAnsi="Verdana"/>
              <w:b/>
              <w:sz w:val="16"/>
              <w:szCs w:val="16"/>
            </w:rPr>
            <w:t xml:space="preserve"> / No:</w:t>
          </w:r>
        </w:p>
      </w:tc>
      <w:tc>
        <w:tcPr>
          <w:tcW w:w="1365" w:type="dxa"/>
        </w:tcPr>
        <w:p w:rsidR="00EB13E6" w:rsidRPr="00507192" w:rsidRDefault="00EB13E6" w:rsidP="00EB13E6">
          <w:pPr>
            <w:jc w:val="center"/>
            <w:rPr>
              <w:rFonts w:eastAsia="Courier New"/>
              <w:b/>
              <w:sz w:val="32"/>
              <w:szCs w:val="32"/>
            </w:rPr>
          </w:pPr>
          <w:r w:rsidRPr="00507192">
            <w:rPr>
              <w:rFonts w:eastAsia="Courier New"/>
              <w:b/>
              <w:sz w:val="32"/>
              <w:szCs w:val="32"/>
            </w:rPr>
            <w:t>0</w:t>
          </w:r>
        </w:p>
      </w:tc>
    </w:tr>
    <w:tr w:rsidR="00EB13E6" w:rsidRPr="00507192" w:rsidTr="00FA3AFE">
      <w:trPr>
        <w:trHeight w:val="253"/>
      </w:trPr>
      <w:tc>
        <w:tcPr>
          <w:tcW w:w="1873" w:type="dxa"/>
          <w:vMerge/>
        </w:tcPr>
        <w:p w:rsidR="00EB13E6" w:rsidRPr="00507192" w:rsidRDefault="00EB13E6" w:rsidP="00EB13E6">
          <w:pPr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EB13E6" w:rsidRPr="00507192" w:rsidRDefault="00EB13E6" w:rsidP="00EB13E6">
          <w:pPr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EB13E6" w:rsidRPr="00507192" w:rsidRDefault="00EB13E6" w:rsidP="00EB13E6">
          <w:pPr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365" w:type="dxa"/>
        </w:tcPr>
        <w:p w:rsidR="00EB13E6" w:rsidRPr="00507192" w:rsidRDefault="00EB13E6" w:rsidP="00EB13E6">
          <w:pPr>
            <w:rPr>
              <w:rFonts w:eastAsia="Courier New"/>
              <w:b/>
              <w:sz w:val="32"/>
              <w:szCs w:val="32"/>
            </w:rPr>
          </w:pPr>
        </w:p>
      </w:tc>
    </w:tr>
  </w:tbl>
  <w:p w:rsidR="00EB13E6" w:rsidRDefault="00EB13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E6"/>
    <w:rsid w:val="001C2870"/>
    <w:rsid w:val="00211E4D"/>
    <w:rsid w:val="00297201"/>
    <w:rsid w:val="00441385"/>
    <w:rsid w:val="0058250B"/>
    <w:rsid w:val="0095166D"/>
    <w:rsid w:val="00BE02C3"/>
    <w:rsid w:val="00C15721"/>
    <w:rsid w:val="00DB5F8D"/>
    <w:rsid w:val="00E62D35"/>
    <w:rsid w:val="00EB13E6"/>
    <w:rsid w:val="00F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6CBF"/>
  <w15:chartTrackingRefBased/>
  <w15:docId w15:val="{0B76320C-DDD5-4312-8A5F-33DFC22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1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13E6"/>
  </w:style>
  <w:style w:type="paragraph" w:styleId="AltBilgi">
    <w:name w:val="footer"/>
    <w:basedOn w:val="Normal"/>
    <w:link w:val="AltBilgiChar"/>
    <w:uiPriority w:val="99"/>
    <w:unhideWhenUsed/>
    <w:rsid w:val="00EB1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13E6"/>
  </w:style>
  <w:style w:type="table" w:styleId="TabloKlavuzu">
    <w:name w:val="Table Grid"/>
    <w:basedOn w:val="NormalTablo"/>
    <w:uiPriority w:val="59"/>
    <w:rsid w:val="00EB13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sevda@hotmail.com</dc:creator>
  <cp:keywords/>
  <dc:description/>
  <cp:lastModifiedBy>sevda@hotmail.com</cp:lastModifiedBy>
  <cp:revision>2</cp:revision>
  <dcterms:created xsi:type="dcterms:W3CDTF">2023-09-27T12:51:00Z</dcterms:created>
  <dcterms:modified xsi:type="dcterms:W3CDTF">2023-09-27T12:51:00Z</dcterms:modified>
</cp:coreProperties>
</file>